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8323"/>
      </w:tblGrid>
      <w:tr w:rsidR="00D004EE" w14:paraId="56022BC9" w14:textId="7777777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12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D602F" w14:textId="77777777" w:rsidR="00D004EE" w:rsidRDefault="00F34C40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</w:rPr>
              <w:drawing>
                <wp:inline distT="0" distB="0" distL="0" distR="0" wp14:anchorId="6DB8F035" wp14:editId="6AE40535">
                  <wp:extent cx="721440" cy="986760"/>
                  <wp:effectExtent l="0" t="0" r="2460" b="3840"/>
                  <wp:docPr id="6" name="immagini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40" cy="98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FBE9F" w14:textId="77777777" w:rsidR="00D004EE" w:rsidRDefault="00F34C40">
            <w:pPr>
              <w:pStyle w:val="Titolo4"/>
              <w:numPr>
                <w:ilvl w:val="0"/>
                <w:numId w:val="0"/>
              </w:numPr>
              <w:tabs>
                <w:tab w:val="left" w:pos="-390"/>
              </w:tabs>
              <w:spacing w:before="0" w:after="0"/>
              <w:ind w:right="75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14:paraId="01C0A18C" w14:textId="06F1817C" w:rsidR="00D004EE" w:rsidRDefault="00F34C40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 xml:space="preserve"> e Grandi Progetti</w:t>
            </w:r>
          </w:p>
        </w:tc>
      </w:tr>
    </w:tbl>
    <w:p w14:paraId="2C569324" w14:textId="77777777" w:rsidR="00D004EE" w:rsidRDefault="00D004EE">
      <w:pPr>
        <w:pStyle w:val="Standard"/>
        <w:ind w:firstLine="708"/>
      </w:pPr>
    </w:p>
    <w:p w14:paraId="1057A3BF" w14:textId="77777777" w:rsidR="00D004EE" w:rsidRDefault="00F34C40">
      <w:pPr>
        <w:pStyle w:val="Standard"/>
      </w:pP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CHECK LIST 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lang w:bidi="he-IL"/>
        </w:rPr>
        <w:t xml:space="preserve">   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4"/>
      </w:tblGrid>
      <w:tr w:rsidR="00D004EE" w14:paraId="437F528E" w14:textId="77777777">
        <w:tblPrEx>
          <w:tblCellMar>
            <w:top w:w="0" w:type="dxa"/>
            <w:bottom w:w="0" w:type="dxa"/>
          </w:tblCellMar>
        </w:tblPrEx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9DCC" w14:textId="77777777" w:rsidR="00D004EE" w:rsidRDefault="00F34C40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>S. C. A.  (Segnalazione Certificata di Agibilità)</w:t>
            </w:r>
          </w:p>
        </w:tc>
      </w:tr>
    </w:tbl>
    <w:p w14:paraId="068EFB50" w14:textId="77777777" w:rsidR="00D004EE" w:rsidRDefault="00F34C40">
      <w:pPr>
        <w:pStyle w:val="TableContents"/>
      </w:pPr>
      <w:r>
        <w:rPr>
          <w:rFonts w:ascii="Palatino Linotype" w:eastAsia="Palatino Linotype" w:hAnsi="Palatino Linotype" w:cs="Palatino Linotype"/>
          <w:bCs/>
          <w:i/>
          <w:iCs/>
          <w:color w:val="000000"/>
          <w:lang w:bidi="he-IL"/>
        </w:rPr>
        <w:t xml:space="preserve">                   </w:t>
      </w:r>
      <w:r>
        <w:rPr>
          <w:rFonts w:ascii="Palatino Linotype" w:eastAsia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 xml:space="preserve">                     </w:t>
      </w: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14:paraId="364BEADA" w14:textId="77777777" w:rsidR="00D004EE" w:rsidRDefault="00F34C40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                                      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681"/>
        <w:gridCol w:w="1709"/>
        <w:gridCol w:w="1912"/>
        <w:gridCol w:w="825"/>
      </w:tblGrid>
      <w:tr w:rsidR="00D004EE" w14:paraId="00EE67B8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8F47" w14:textId="77777777" w:rsidR="00D004EE" w:rsidRDefault="00F34C40">
            <w:pPr>
              <w:pStyle w:val="TableContents"/>
            </w:pPr>
            <w:r>
              <w:rPr>
                <w:rFonts w:cs="Palatino Linotype"/>
                <w:b/>
                <w:bCs/>
                <w:sz w:val="22"/>
                <w:szCs w:val="22"/>
              </w:rPr>
              <w:t xml:space="preserve">Elenco A _ </w:t>
            </w:r>
            <w:r>
              <w:rPr>
                <w:rFonts w:cs="Palatino Linotype"/>
                <w:b/>
                <w:bCs/>
                <w:sz w:val="18"/>
                <w:szCs w:val="18"/>
              </w:rPr>
              <w:t xml:space="preserve">DOCUMENTI GENERALI OBBLIGATORI   </w:t>
            </w:r>
            <w:r>
              <w:rPr>
                <w:rFonts w:cs="Palatino Linotype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D004EE" w14:paraId="5CC044B5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B7EA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5D16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0C21A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2042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96263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D004EE" w14:paraId="451772BB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BE4D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9750C" w14:textId="43E518A5" w:rsidR="00D004EE" w:rsidRDefault="00F34C40">
            <w:pPr>
              <w:pStyle w:val="Standard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“Modulo </w:t>
            </w:r>
            <w:proofErr w:type="spell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SUE_Procura</w:t>
            </w:r>
            <w:proofErr w:type="spellEnd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speciale”  </w:t>
            </w:r>
            <w:r w:rsidR="00EC0FC9">
              <w:rPr>
                <w:sz w:val="18"/>
                <w:szCs w:val="18"/>
              </w:rPr>
              <w:t>e</w:t>
            </w:r>
            <w:proofErr w:type="gramEnd"/>
            <w:r w:rsidR="00EC0FC9">
              <w:rPr>
                <w:sz w:val="18"/>
                <w:szCs w:val="18"/>
              </w:rPr>
              <w:t xml:space="preserve"> documento di identità del richiedente </w:t>
            </w:r>
            <w:r w:rsidR="00EC0FC9">
              <w:rPr>
                <w:sz w:val="18"/>
                <w:szCs w:val="18"/>
                <w:u w:val="single"/>
              </w:rPr>
              <w:t>(in caso di procuratore non in possesso di firma digitale)</w:t>
            </w:r>
            <w:r w:rsidR="00EC0FC9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4ED5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93CC9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CB27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53D5F4FE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486D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84E2" w14:textId="77777777" w:rsidR="00D004EE" w:rsidRDefault="00F34C40">
            <w:pPr>
              <w:pStyle w:val="Standard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“Modulo SUE_ 06_ S.C.A.” compilato in ogni sua parte</w:t>
            </w:r>
            <w:r w:rsidR="0073446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.</w:t>
            </w:r>
          </w:p>
          <w:p w14:paraId="267C44EE" w14:textId="5704BA67" w:rsidR="00734469" w:rsidRDefault="00734469">
            <w:pPr>
              <w:pStyle w:val="Standard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354E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B8D1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90EB4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54979742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99CD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2C08" w14:textId="77777777" w:rsidR="00D004EE" w:rsidRDefault="00F34C40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 xml:space="preserve">Indicazione della </w:t>
            </w:r>
            <w:r>
              <w:rPr>
                <w:iCs/>
                <w:sz w:val="18"/>
                <w:szCs w:val="18"/>
              </w:rPr>
              <w:t>t</w:t>
            </w:r>
            <w:r>
              <w:rPr>
                <w:iCs/>
                <w:sz w:val="18"/>
                <w:szCs w:val="18"/>
              </w:rPr>
              <w:t>itol</w:t>
            </w:r>
            <w:r>
              <w:rPr>
                <w:iCs/>
                <w:sz w:val="18"/>
                <w:szCs w:val="18"/>
              </w:rPr>
              <w:t>arità dell’intervento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1197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89CD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3CE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0E4E7027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29F8F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0FF5" w14:textId="77777777" w:rsidR="00D004EE" w:rsidRDefault="00F34C40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>Indicazio</w:t>
            </w:r>
            <w:r>
              <w:rPr>
                <w:iCs/>
                <w:sz w:val="18"/>
                <w:szCs w:val="18"/>
              </w:rPr>
              <w:t>ne dell</w:t>
            </w:r>
            <w:r>
              <w:rPr>
                <w:iCs/>
                <w:color w:val="000000"/>
                <w:sz w:val="18"/>
                <w:szCs w:val="18"/>
              </w:rPr>
              <w:t>o stato legittimo dell’immobile o dell’unità immobiliare oggetto d’intervento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1021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B1EE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DF8A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5D350C4D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1326D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6A85" w14:textId="77777777" w:rsidR="00D004EE" w:rsidRDefault="00F34C40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Elaborati grafici:</w:t>
            </w:r>
          </w:p>
          <w:p w14:paraId="14CB51F3" w14:textId="77777777" w:rsidR="00D004EE" w:rsidRDefault="00F34C40">
            <w:pPr>
              <w:pStyle w:val="Standard"/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bCs/>
                <w:iCs/>
                <w:sz w:val="18"/>
                <w:szCs w:val="18"/>
              </w:rPr>
              <w:t xml:space="preserve">Esaustiva </w:t>
            </w:r>
            <w:r>
              <w:rPr>
                <w:bCs/>
                <w:iCs/>
                <w:sz w:val="18"/>
                <w:szCs w:val="18"/>
              </w:rPr>
              <w:t>Localizzazione dell’intervento (si consigliano i punti di cui sotto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D004EE" w14:paraId="27A452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13A4C1" w14:textId="77777777"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.1.1 – Stralcio CTR</w:t>
                  </w:r>
                </w:p>
              </w:tc>
            </w:tr>
            <w:tr w:rsidR="00D004EE" w14:paraId="2F796FB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0D8378" w14:textId="77777777"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.1.2 – St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ralcio PRG</w:t>
                  </w:r>
                </w:p>
              </w:tc>
            </w:tr>
            <w:tr w:rsidR="00D004EE" w14:paraId="4723D63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C02A4E" w14:textId="77777777"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.1.3 – St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ralcio Catastale</w:t>
                  </w:r>
                </w:p>
              </w:tc>
            </w:tr>
          </w:tbl>
          <w:p w14:paraId="44DDDAB1" w14:textId="77777777" w:rsidR="00D004EE" w:rsidRDefault="00F34C40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Piante, Prospetti, Sezioni,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D004EE" w14:paraId="506C5BA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1B828F" w14:textId="77777777"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</w:t>
                  </w:r>
                  <w:r>
                    <w:rPr>
                      <w:bCs/>
                      <w:iCs/>
                      <w:sz w:val="18"/>
                      <w:szCs w:val="18"/>
                    </w:rPr>
                    <w:t>.2.1 - Stato di fatto</w:t>
                  </w:r>
                </w:p>
              </w:tc>
            </w:tr>
            <w:tr w:rsidR="00D004EE" w14:paraId="1C8E0C2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04D5E1" w14:textId="77777777" w:rsidR="00D004EE" w:rsidRDefault="00F34C40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6.2.2 - Stato futuro dell’opera</w:t>
                  </w:r>
                </w:p>
              </w:tc>
            </w:tr>
          </w:tbl>
          <w:p w14:paraId="10741D57" w14:textId="77777777"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  <w:p w14:paraId="519653CB" w14:textId="77777777" w:rsidR="00D004EE" w:rsidRDefault="00F34C40">
            <w:pPr>
              <w:pStyle w:val="Standard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Relazione tecnica illustrativa del direttore dei lavori </w:t>
            </w:r>
            <w:proofErr w:type="spellStart"/>
            <w:proofErr w:type="gram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o,qualora</w:t>
            </w:r>
            <w:proofErr w:type="spellEnd"/>
            <w:proofErr w:type="gramEnd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non nominato, di un professionista abilitato che </w:t>
            </w:r>
            <w:r>
              <w:rPr>
                <w:rFonts w:cs="Palatino Linotype"/>
                <w:b/>
                <w:bCs/>
                <w:iCs/>
                <w:color w:val="00000A"/>
                <w:sz w:val="18"/>
                <w:szCs w:val="18"/>
              </w:rPr>
              <w:t>assevera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la sussistenza delle condizioni di sicurezza,  igiene,  salubrità,  l’avvenuta </w:t>
            </w:r>
            <w:proofErr w:type="spell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prosciugatura</w:t>
            </w:r>
            <w:proofErr w:type="spellEnd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dei muri  risparmio energetico degli edifici e degli impianti,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 che l’immobile interessato risulta confor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>me al titolo autorizzato e che allo stato non vi sono opere abusive</w:t>
            </w:r>
          </w:p>
          <w:p w14:paraId="0F196DA3" w14:textId="77777777"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Nella medesima relazione deve </w:t>
            </w:r>
            <w:r>
              <w:rPr>
                <w:rFonts w:cs="Palatino Linotype"/>
                <w:b/>
                <w:bCs/>
                <w:color w:val="00000A"/>
                <w:sz w:val="18"/>
                <w:szCs w:val="18"/>
              </w:rPr>
              <w:t>evincersi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 data di inizio e fine lavori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(se proveniente da recente titolo abilitativo), Descrivere le modalità di allaccio alla rete idrica e fognaria e/o </w:t>
            </w:r>
            <w:proofErr w:type="gramStart"/>
            <w:r>
              <w:rPr>
                <w:rFonts w:cs="Palatino Linotype"/>
                <w:bCs/>
                <w:color w:val="00000A"/>
                <w:sz w:val="18"/>
                <w:szCs w:val="18"/>
              </w:rPr>
              <w:t>e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>ventuali autorizzazione</w:t>
            </w:r>
            <w:proofErr w:type="gramEnd"/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agli scarichi.</w:t>
            </w:r>
          </w:p>
          <w:p w14:paraId="5D8FC65A" w14:textId="77777777"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Devono </w:t>
            </w:r>
            <w:r>
              <w:rPr>
                <w:rFonts w:cs="Palatino Linotype"/>
                <w:b/>
                <w:bCs/>
                <w:color w:val="00000A"/>
                <w:sz w:val="18"/>
                <w:szCs w:val="18"/>
              </w:rPr>
              <w:t xml:space="preserve">essere </w:t>
            </w:r>
            <w:proofErr w:type="gramStart"/>
            <w:r>
              <w:rPr>
                <w:rFonts w:cs="Palatino Linotype"/>
                <w:b/>
                <w:bCs/>
                <w:color w:val="00000A"/>
                <w:sz w:val="18"/>
                <w:szCs w:val="18"/>
              </w:rPr>
              <w:t>relazionati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</w:t>
            </w:r>
            <w:proofErr w:type="gramEnd"/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 xml:space="preserve"> superficie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il volume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il numero dei vani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 destinazione d’uso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le pertinenze ed accessori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>, con allegata planimetria del locale.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571D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ED5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1679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31416E42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F775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0FB4" w14:textId="77777777"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</w:t>
            </w:r>
            <w:proofErr w:type="gram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istruttoria“</w:t>
            </w:r>
            <w:proofErr w:type="gramEnd"/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622D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46D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897D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6739C79F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988B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D9AC" w14:textId="1A37BD7B"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Certificato di collaudo statico di cui all’articolo 67 del DPR 380/2001 e </w:t>
            </w:r>
            <w:proofErr w:type="spell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s.m.i.</w:t>
            </w:r>
            <w:proofErr w:type="spellEnd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ovvero, per gli interventi di cui al comma 8Bis del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medesimo articolo, dichiarazione di regolare esecuzione resa dal direttore dei lavori</w:t>
            </w:r>
            <w:r w:rsidR="0073446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. Per gli immobili realizzati ante ’71 si dovrà presentare perizia giurata attestante l’idoneità statica del fabbricato.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78C6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FCD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CF904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20DA4419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0F4E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A10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F66F" w14:textId="77777777"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C4A8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540C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234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2EA23BAA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47F9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13F2" w14:textId="77777777"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Lettera di affidamento dell’incarico sottoscritta dal committente (L.R. 25/2018 e </w:t>
            </w:r>
            <w:proofErr w:type="spellStart"/>
            <w:r>
              <w:rPr>
                <w:bCs/>
                <w:iCs/>
                <w:sz w:val="18"/>
                <w:szCs w:val="18"/>
              </w:rPr>
              <w:t>s.m.i.</w:t>
            </w:r>
            <w:proofErr w:type="spellEnd"/>
            <w:r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E163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6ED4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8904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2D043E86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7C11A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BBD8" w14:textId="77777777" w:rsidR="00D004EE" w:rsidRDefault="00F34C40">
            <w:pPr>
              <w:pStyle w:val="Standard"/>
              <w:widowControl w:val="0"/>
              <w:spacing w:line="100" w:lineRule="atLeast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effettuata L.R. 25/2018 e </w:t>
            </w:r>
            <w:proofErr w:type="spellStart"/>
            <w:r>
              <w:rPr>
                <w:rFonts w:cs="Palatino Linotype"/>
                <w:iCs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E0630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4C88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E93B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4904641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561A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6D87F" w14:textId="77777777"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iCs/>
                <w:color w:val="000000"/>
                <w:sz w:val="18"/>
                <w:szCs w:val="18"/>
              </w:rPr>
            </w:pPr>
            <w:r>
              <w:rPr>
                <w:rFonts w:cs="Palatino Linotype"/>
                <w:iCs/>
                <w:color w:val="000000"/>
                <w:sz w:val="18"/>
                <w:szCs w:val="18"/>
              </w:rPr>
              <w:t>Documentazione catastale (Planimetrie, Visure e ricevuta di aggiornamento catastale)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4AB0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A37D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6277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 w14:paraId="2739C2C4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BA86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8889" w14:textId="77777777"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iCs/>
                <w:color w:val="000000"/>
                <w:sz w:val="18"/>
                <w:szCs w:val="18"/>
              </w:rPr>
            </w:pPr>
            <w:r>
              <w:rPr>
                <w:rFonts w:cs="Palatino Linotype"/>
                <w:iCs/>
                <w:color w:val="000000"/>
                <w:sz w:val="18"/>
                <w:szCs w:val="18"/>
              </w:rPr>
              <w:t xml:space="preserve">Attestazione </w:t>
            </w:r>
            <w:r>
              <w:rPr>
                <w:rFonts w:cs="Palatino Linotype"/>
                <w:iCs/>
                <w:color w:val="000000"/>
                <w:sz w:val="18"/>
                <w:szCs w:val="18"/>
              </w:rPr>
              <w:t xml:space="preserve">rilasciata ai sensi del </w:t>
            </w:r>
            <w:proofErr w:type="spellStart"/>
            <w:r>
              <w:rPr>
                <w:rFonts w:cs="Palatino Linotype"/>
                <w:iCs/>
                <w:color w:val="000000"/>
                <w:sz w:val="18"/>
                <w:szCs w:val="18"/>
              </w:rPr>
              <w:t>D.Lgs</w:t>
            </w:r>
            <w:proofErr w:type="spellEnd"/>
            <w:r>
              <w:rPr>
                <w:rFonts w:cs="Palatino Linotype"/>
                <w:iCs/>
                <w:color w:val="000000"/>
                <w:sz w:val="18"/>
                <w:szCs w:val="18"/>
              </w:rPr>
              <w:t xml:space="preserve"> n. 192/2005 e </w:t>
            </w:r>
            <w:proofErr w:type="spellStart"/>
            <w:r>
              <w:rPr>
                <w:rFonts w:cs="Palatino Linotype"/>
                <w:iCs/>
                <w:color w:val="000000"/>
                <w:sz w:val="18"/>
                <w:szCs w:val="18"/>
              </w:rPr>
              <w:t>s.m.i.</w:t>
            </w:r>
            <w:proofErr w:type="spellEnd"/>
            <w:r>
              <w:rPr>
                <w:rFonts w:cs="Palatino Linotype"/>
                <w:iCs/>
                <w:color w:val="000000"/>
                <w:sz w:val="18"/>
                <w:szCs w:val="18"/>
              </w:rPr>
              <w:t xml:space="preserve"> (A.Q.E./A.P.E.)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D226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E89A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2BE4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 w14:paraId="3F4E9A57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9345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A15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BB580" w14:textId="77777777"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Dichiarazione di conformità dell’immobile alla normativa vigente in materia di accessibilità e superamento delle barriere architettoniche di cui all’art.77, nonché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all’art.82 del D.P.R 380/2001 e </w:t>
            </w:r>
            <w:proofErr w:type="spellStart"/>
            <w:r>
              <w:rPr>
                <w:rFonts w:cs="Palatino Linotype"/>
                <w:bCs/>
                <w:iCs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DE05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83C95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0701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 w14:paraId="5462C26E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3C183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AA7C" w14:textId="77777777" w:rsidR="00D004EE" w:rsidRDefault="00F34C40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Dichiarazioni di conformità e/o collaudi che attestino la conformità degli impianti installati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4678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20E5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A69E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 w14:paraId="74ACA4D6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D74A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3036" w14:textId="77777777"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Certificato sullo smaltimento degli inerti con allegato il formulario di smaltimento e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relative analisi del materiale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6B0D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DI  PRODUZIONE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DI MATERIALI DI RISULTA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869F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64BE" w14:textId="77777777"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70A8E6C" w14:textId="77777777" w:rsidR="00D004EE" w:rsidRDefault="00F34C40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7027"/>
        <w:gridCol w:w="1175"/>
        <w:gridCol w:w="925"/>
      </w:tblGrid>
      <w:tr w:rsidR="00D004EE" w14:paraId="15DB270E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9051" w14:textId="77777777" w:rsidR="00D004EE" w:rsidRDefault="00F34C40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D004EE" w14:paraId="329F22AD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FD56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7707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1684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B107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D004EE" w14:paraId="62023698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051E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0133" w14:textId="77777777"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Planimetria quotata e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d’insieme con l’indicazione delle dimensioni del lotto, strade con toponomastica e ampiezza, posizione dei fabbricati esistenti interni ed esterni al lotto, con distacchi del fabbricato in progetto dalla sede stradale, dai confini e dagli edifici circostan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ti, le aree a parcheggio pubblico e privato, le superfici permeabili e drenanti, la posizione eventuale della recinzione in progetto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EF4C" w14:textId="77777777" w:rsidR="00D004EE" w:rsidRDefault="00D004EE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E146C" w14:textId="77777777" w:rsidR="00D004EE" w:rsidRDefault="00D004EE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D004EE" w14:paraId="282ADBAA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4A60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0098" w14:textId="77777777"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la rete pubblica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9825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B7D83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D004EE" w14:paraId="26D9A2CA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9D0C4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B809" w14:textId="77777777"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Prevenzione Incendi (per attività soggette) documentazione tecnica ed elaborati grafici in relazione allo specifico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</w:t>
            </w:r>
            <w:proofErr w:type="spellEnd"/>
            <w:r>
              <w:rPr>
                <w:bCs/>
                <w:iCs/>
                <w:sz w:val="18"/>
                <w:szCs w:val="18"/>
              </w:rPr>
              <w:t>-procedimento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FA07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A055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004EE" w14:paraId="65E7B84F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E4EC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D46D" w14:textId="77777777"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Autorizzazione A.S.L., o autocertificazione circa la conformità alle norme </w:t>
            </w:r>
            <w:proofErr w:type="spellStart"/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Igienico_sanitarie</w:t>
            </w:r>
            <w:proofErr w:type="spellEnd"/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3741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6BAC5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D004EE" w14:paraId="7F4A7A78" w14:textId="7777777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9701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BA4E" w14:textId="77777777"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4457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76C6" w14:textId="77777777"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004EE" w14:paraId="6CFC397A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4733" w14:textId="77777777"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683E" w14:textId="77777777"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B78A" w14:textId="77777777"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F8A3" w14:textId="77777777"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64AA14CF" w14:textId="77777777" w:rsidR="00D004EE" w:rsidRDefault="00D004EE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0"/>
        <w:gridCol w:w="1475"/>
        <w:gridCol w:w="2213"/>
      </w:tblGrid>
      <w:tr w:rsidR="00D004EE" w14:paraId="54C76613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D38FD" w14:textId="77777777" w:rsidR="00D004EE" w:rsidRDefault="00F34C40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C _ ALTRI </w:t>
            </w:r>
            <w:proofErr w:type="gramStart"/>
            <w:r>
              <w:rPr>
                <w:rFonts w:cs="Palatino Linotype"/>
                <w:b/>
                <w:bCs/>
                <w:sz w:val="20"/>
                <w:szCs w:val="20"/>
              </w:rPr>
              <w:t>DOCUMENTI :</w:t>
            </w:r>
            <w:proofErr w:type="gramEnd"/>
            <w:r>
              <w:rPr>
                <w:rFonts w:cs="Palatino Linotype"/>
                <w:b/>
                <w:bCs/>
                <w:sz w:val="20"/>
                <w:szCs w:val="20"/>
              </w:rPr>
              <w:t xml:space="preserve"> spazio a disposizione del tecnico per elencare </w:t>
            </w:r>
            <w:r>
              <w:rPr>
                <w:rFonts w:cs="Palatino Linotype"/>
                <w:b/>
                <w:bCs/>
                <w:sz w:val="20"/>
                <w:szCs w:val="20"/>
              </w:rPr>
              <w:t>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426A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A3C4" w14:textId="77777777"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D004EE" w14:paraId="328B5C1B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3D8DF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A10E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58D8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 w14:paraId="61A86B79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3CD2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F02EE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0389C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 w14:paraId="0A705167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E0A5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CBB1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3685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 w14:paraId="4C28C424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A208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7B691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B237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 w14:paraId="54501D95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82F3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975E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CAFD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 w14:paraId="7A77AD39" w14:textId="77777777">
        <w:tblPrEx>
          <w:tblCellMar>
            <w:top w:w="0" w:type="dxa"/>
            <w:bottom w:w="0" w:type="dxa"/>
          </w:tblCellMar>
        </w:tblPrEx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B685" w14:textId="77777777"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DA8B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DD23F" w14:textId="77777777"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C3D6AF4" w14:textId="77777777" w:rsidR="00D004EE" w:rsidRDefault="00D004EE" w:rsidP="00734469">
      <w:pPr>
        <w:pStyle w:val="Standard"/>
      </w:pPr>
    </w:p>
    <w:sectPr w:rsidR="00D004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5189" w14:textId="77777777" w:rsidR="00000000" w:rsidRDefault="00F34C40">
      <w:r>
        <w:separator/>
      </w:r>
    </w:p>
  </w:endnote>
  <w:endnote w:type="continuationSeparator" w:id="0">
    <w:p w14:paraId="30F42236" w14:textId="77777777" w:rsidR="00000000" w:rsidRDefault="00F3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A815" w14:textId="77777777" w:rsidR="00000000" w:rsidRDefault="00F34C40">
      <w:r>
        <w:rPr>
          <w:color w:val="000000"/>
        </w:rPr>
        <w:separator/>
      </w:r>
    </w:p>
  </w:footnote>
  <w:footnote w:type="continuationSeparator" w:id="0">
    <w:p w14:paraId="3761E218" w14:textId="77777777" w:rsidR="00000000" w:rsidRDefault="00F3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7EC"/>
    <w:multiLevelType w:val="multilevel"/>
    <w:tmpl w:val="479CA34E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abstractNum w:abstractNumId="1" w15:restartNumberingAfterBreak="0">
    <w:nsid w:val="4F5F28CB"/>
    <w:multiLevelType w:val="multilevel"/>
    <w:tmpl w:val="7E364A5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637F4089"/>
    <w:multiLevelType w:val="multilevel"/>
    <w:tmpl w:val="EF84238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670C09E0"/>
    <w:multiLevelType w:val="multilevel"/>
    <w:tmpl w:val="09C06D5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4" w15:restartNumberingAfterBreak="0">
    <w:nsid w:val="7DA57C97"/>
    <w:multiLevelType w:val="multilevel"/>
    <w:tmpl w:val="07C6AD7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1164859406">
    <w:abstractNumId w:val="0"/>
  </w:num>
  <w:num w:numId="2" w16cid:durableId="261958557">
    <w:abstractNumId w:val="3"/>
  </w:num>
  <w:num w:numId="3" w16cid:durableId="419326809">
    <w:abstractNumId w:val="1"/>
  </w:num>
  <w:num w:numId="4" w16cid:durableId="310214153">
    <w:abstractNumId w:val="4"/>
  </w:num>
  <w:num w:numId="5" w16cid:durableId="122791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4EE"/>
    <w:rsid w:val="003047E5"/>
    <w:rsid w:val="006B3830"/>
    <w:rsid w:val="00734469"/>
    <w:rsid w:val="00D004EE"/>
    <w:rsid w:val="00DE1BE8"/>
    <w:rsid w:val="00EC0FC9"/>
    <w:rsid w:val="00F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268B"/>
  <w15:docId w15:val="{CEA12139-8D54-4959-ADD7-27E06F2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pPr>
      <w:spacing w:before="280" w:after="280"/>
    </w:p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pPr>
      <w:spacing w:after="120"/>
      <w:ind w:left="283"/>
    </w:pPr>
  </w:style>
  <w:style w:type="paragraph" w:styleId="Corpodeltesto3">
    <w:name w:val="Body Text 3"/>
    <w:basedOn w:val="Standard"/>
    <w:next w:val="Testodelblocco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pPr>
      <w:suppressLineNumbers/>
    </w:pPr>
  </w:style>
  <w:style w:type="paragraph" w:customStyle="1" w:styleId="TableHeading">
    <w:name w:val="Table Heading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Pr>
      <w:rFonts w:ascii="Symbol" w:hAnsi="Symbol" w:cs="Wingdings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Palatino Linotype" w:eastAsia="Times New Roman" w:hAnsi="Palatino Linotype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1z0">
    <w:name w:val="WW8NumSt21z0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attere">
    <w:name w:val="Carattere"/>
    <w:basedOn w:val="Carpredefinitoparagrafo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Pr>
      <w:lang w:val="it-IT" w:bidi="ar-SA"/>
    </w:rPr>
  </w:style>
  <w:style w:type="character" w:customStyle="1" w:styleId="WW-Carattere1234">
    <w:name w:val="WW- Carattere1234"/>
    <w:basedOn w:val="Carpredefinitoparagrafo"/>
    <w:rPr>
      <w:lang w:val="it-IT" w:bidi="ar-SA"/>
    </w:rPr>
  </w:style>
  <w:style w:type="character" w:customStyle="1" w:styleId="WW-Carattere12345">
    <w:name w:val="WW- Carattere12345"/>
    <w:basedOn w:val="Carpredefinitoparagrafo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LO-normal">
    <w:name w:val="LO-normal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Arial" w:hAnsi="Arial" w:cs="Arial"/>
      <w:sz w:val="22"/>
    </w:rPr>
  </w:style>
  <w:style w:type="character" w:customStyle="1" w:styleId="ListLabel1">
    <w:name w:val="ListLabel 1"/>
    <w:rPr>
      <w:b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Check_List_%20rev%204-10-2022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Manlio CAIAZZA</cp:lastModifiedBy>
  <cp:revision>4</cp:revision>
  <cp:lastPrinted>2023-03-02T15:24:00Z</cp:lastPrinted>
  <dcterms:created xsi:type="dcterms:W3CDTF">2023-03-02T15:20:00Z</dcterms:created>
  <dcterms:modified xsi:type="dcterms:W3CDTF">2023-03-02T15:24:00Z</dcterms:modified>
</cp:coreProperties>
</file>